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0" w:rsidRPr="004F2360" w:rsidRDefault="004F2360" w:rsidP="004F2360">
      <w:pPr>
        <w:jc w:val="center"/>
        <w:rPr>
          <w:b/>
        </w:rPr>
      </w:pPr>
      <w:bookmarkStart w:id="0" w:name="_GoBack"/>
      <w:bookmarkEnd w:id="0"/>
      <w:r w:rsidRPr="004F2360">
        <w:rPr>
          <w:b/>
        </w:rPr>
        <w:t>Treatment-Related Toxicities</w:t>
      </w:r>
    </w:p>
    <w:p w:rsidR="004F2360" w:rsidRDefault="004F2360" w:rsidP="004F2360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Toxicity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Definition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Symptoms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Impact on Exercise Response</w:t>
            </w: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Immune System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Cardiovascular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Pulmonary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Gastrointestinal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Musculoskeletal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Hepatic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</w:tbl>
    <w:p w:rsidR="004F2360" w:rsidRPr="004F2360" w:rsidRDefault="004F2360">
      <w:pPr>
        <w:rPr>
          <w:b/>
        </w:rPr>
      </w:pPr>
      <w:r w:rsidRPr="004F2360">
        <w:rPr>
          <w:b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lastRenderedPageBreak/>
              <w:t>Neuroendocrine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Dermatological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  <w:tr w:rsidR="004F2360" w:rsidRPr="004F2360"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  <w:r w:rsidRPr="004F2360">
              <w:rPr>
                <w:b/>
              </w:rPr>
              <w:t>Psychological</w:t>
            </w: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4F2360" w:rsidRPr="004F2360" w:rsidRDefault="004F2360" w:rsidP="004F2360">
            <w:pPr>
              <w:jc w:val="center"/>
              <w:rPr>
                <w:b/>
              </w:rPr>
            </w:pPr>
          </w:p>
        </w:tc>
      </w:tr>
    </w:tbl>
    <w:p w:rsidR="004B6734" w:rsidRDefault="00065B31" w:rsidP="004F2360">
      <w:pPr>
        <w:jc w:val="center"/>
      </w:pPr>
    </w:p>
    <w:sectPr w:rsidR="004B6734" w:rsidSect="004B67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0"/>
    <w:rsid w:val="00065B31"/>
    <w:rsid w:val="004F2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2</cp:revision>
  <cp:lastPrinted>2012-03-29T16:16:00Z</cp:lastPrinted>
  <dcterms:created xsi:type="dcterms:W3CDTF">2014-12-03T18:47:00Z</dcterms:created>
  <dcterms:modified xsi:type="dcterms:W3CDTF">2014-12-03T18:47:00Z</dcterms:modified>
</cp:coreProperties>
</file>